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336. “骑手有了'工伤保险'”——外卖骑手、网约车司机职业伤害保障认知研究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研究对象：外卖骑手/网约车司机/同城货运司机（新就业形态从业者）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核心问题/变量：职伤保障知晓（2026新政）、参保情况、理赔体验、平台缴费感知、保障满意度、建议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H1：职伤保障知晓（2026新政）、参保情况（建议）之间存在可检验的关系，且受群体差异（年龄/收入/地区/身份）调节（待验证）；H2：职伤保障知晓（2026新政）、参保情况是影响建议的关键因素（待验证）。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✅2026年7月1日起新就业形态人员职业伤害保障试点全国31省+兵团全面推开（三大高风险行业）；✅截至2026年6月底累计参保2990.2万人；✅费用平台按单代缴（网约车0.01元/单、外卖0.07元、货运0.18元）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骑手驿站/司机社群渠道；一体化关怀型选题、评委好感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✅2026年7月1日起新就业形态人员职业伤害保障试点全国31省+兵团全面推开（三大高风险行业）；✅截至2026年6月底累计参保2990.2万人；✅费用平台按单代缴（网约车0.01元/单、外卖0.07元、货运0.18元）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