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338. “跑外卖还是开网约车”——新就业形态从业者职业选择与收入分化研究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建议地区：深圳（可按省/市细化抽样框）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研究对象：外卖骑手、网约车司机（含兼职/全职）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核心问题/变量：入行动机、全职vs兼职、日均单量与收入、竞争感知（饱和预警）、职业规划、幸福度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H1：入行动机、全职vs兼职（幸福度）之间存在可检验的关系，且受群体差异（年龄/收入/地区/身份）调节（待验证）；H2：入行动机、全职vs兼职是影响幸福度的关键因素（待验证）。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✅外卖和网约车从业者超5300万（两年涨约1000万）；✅部分城市已现饱和迹象（深圳预警、单车日均单量下滑）；✅货拉拉2026"全民就业季"363个城市提供70万个灵活就业机会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骑手/司机社群、配送站点渠道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✅外卖和网约车从业者超5300万（两年涨约1000万）；✅部分城市已现饱和迹象（深圳预警、单车日均单量下滑）；✅货拉拉2026"全民就业季"363个城市提供70万个灵活就业机会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