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339. “斜杠青年，副业进行时”——青年副业经济、多重职业消费行为研究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研究对象：有副业（自媒体/摆摊/兼职/技能接单）的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核心问题/变量：副业类型、动机（增收/兴趣/焦虑）、时间投入、月收入、影响主业风险、倦怠与持续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副业类型、动机（增收/兴趣/焦虑）（倦怠与持续）之间存在可检验的关系，且受群体差异（年龄/收入/地区/身份）调节（待验证）；H2：副业类型、动机（增收/兴趣/焦虑）是影响倦怠与持续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🔶副业经济（媒体"副业热"报道）；✅灵活就业超2亿背景；✅AI绘画副业60%月入&lt;800元（第十批证据，副业内卷实证）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线上问卷+校园/职场社群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🔶副业经济（媒体"副业热"报道）；✅灵活就业超2亿背景；✅AI绘画副业60%月入&lt;800元（第十批证据，副业内卷实证）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