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377. “居家办公，二选一还是混合”——混合办公、居家办公模式员工满意度研究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确定行业：13_职场与新就业（选择理由：贴合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研究对象：实行混合办公/居家办公的职场人（互联网/设计/客服等）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核心问题/变量：办公模式现状、效率自评、生活平衡、孤独与协作成本、公司政策偏好、满意度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H1：办公模式现状、效率自评（满意度）之间存在可检验的关系，且受群体差异（年龄/收入/地区/身份）调节（待验证）；H2：办公模式现状、效率自评是影响满意度的关键因素（待验证）。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🔶混合办公趋势（企业实践媒体）；✅远程办公工具生态成熟（腾讯会议/飞书）；✅灵活就业2亿背景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企业HR渠道+远程职业社群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🔶混合办公趋势（企业实践媒体）；✅远程办公工具生态成熟（腾讯会议/飞书）；✅灵活就业2亿背景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