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378. “35岁危机，转型去哪”——35岁职场危机感知与职业转型研究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确定行业：13_职场与新就业（选择理由：贴合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研究对象：30—45岁职场人（尤其互联网/制造）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核心问题/变量：年龄压力感知、瓶颈领域、转型方向（创业/副业/考编/技能）、收入变化、职业安全感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H1：年龄压力感知、瓶颈领域（职业安全感）之间存在可检验的关系，且受群体差异（年龄/收入/地区/身份）调节（待验证）；H2：年龄压力感知、瓶颈领域是影响职业安全感的关键因素（待验证）。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🔶"35岁门槛"讨论（媒体/两会议题）；✅延迟退休政策（2025年起实施背景）；✅灵活就业与终身职业技能培训政策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招聘平台用户+职场社群；共鸣性强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🔶"35岁门槛"讨论（媒体/两会议题）；✅延迟退休政策（2025年起实施背景）；✅灵活就业与终身职业技能培训政策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