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380. “年假去哪，错峰旅行”——带薪休假落实与年假旅行消费研究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研究对象：有带薪年假的职场人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核心问题/变量：年假天数与落实、休假用途（旅行/宅家）、年假旅行预算、错峰出游、与节假日对比、"假难请"痛点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年假天数与落实、休假用途（旅行/宅家）（"假难请"痛点）之间存在可检验的关系，且受群体差异（年龄/收入/地区/身份）调节（待验证）；H2：年假天数与落实、休假用途（旅行/宅家）是影响"假难请"痛点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🔶带薪休假落实率（人社部/学术数据需核验）；✅鼓励错峰休假、弹性作息政策（国务院《关于进一步促进旅游投资和消费的若干意见》背景）；✅假日经济消费数据（文旅部🔶）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职场人线上问卷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🔶带薪休假落实率（人社部/学术数据需核验）；✅鼓励错峰休假、弹性作息政策（国务院《关于进一步促进旅游投资和消费的若干意见》背景）；✅假日经济消费数据（文旅部🔶）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