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393. “夜市摆摊，青年新创业”——夜市、市集摊主创业动机与经营研究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建议地区：合肥（可按省/市细化抽样框）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研究对象：夜市/后备箱市集/临时市集的摊主（20—40岁为主）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核心问题/变量：入市动机（创业/副业/体验）、品类选择、摊位成本（租金/物料）、日营业额、客流与竞争、持续意愿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入市动机（创业/副业/体验）、品类选择（持续意愿）之间存在可检验的关系，且受群体差异（年龄/收入/地区/身份）调节（待验证）；H2：入市动机（创业/副业/体验）、品类选择是影响持续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✅120座城市夜间文旅消费热度同比上涨47%（2026暑期）；🔶后备箱集市现象（媒体多次报道需引原文）；✅夜经济政策支持（合肥"徽动消费"夜经济消费季，国际在线）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夜市/市集现场访谈；与96题（市集消费者）区分：聚焦摊主供给侧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✅120座城市夜间文旅消费热度同比上涨47%（2026暑期）；🔶后备箱集市现象（媒体多次报道需引原文）；✅夜经济政策支持（合肥"徽动消费"夜经济消费季，国际在线）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