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503. “全职儿女，新型孝道还是啃老”——青年“全职儿女”现象与就业观研究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topic-selection 规范版（呆塔大师兄（微信：a237658765））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确定行业：13_职场与新就业（选择理由：贴合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研究对象：18—30 岁暂居家陪护父母/备考的“全职儿女”青年及其家长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核心问题/变量：选择动机（就业压力/家庭照护/间隔年）、家庭经济支持结构、社会评价感知、自我认同与焦虑、再就业计划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选择动机（就业压力/家庭照护/间隔年）、家庭经济支持结构（再就业计划）之间存在可检验的关系，且受群体差异（年龄/收入/地区/身份）调节（待验证）；H2：选择动机（就业压力/家庭照护/间隔年）、家庭经济支持结构是影响再就业计划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🔶“全职儿女”现象报道与当事人访谈（主流媒体，须下载核验）；✅青年就业政策与数据（人社部）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线上社群（小红书话题）招募+家庭访谈；区别于199（体验官）等新职业题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🔶“全职儿女”现象报道与当事人访谈（主流媒体，须下载核验）；✅青年就业政策与数据（人社部）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