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596. “数字游民，边旅行边工作”——数字游民生活方式与在地消费研究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研究对象：远程办公的数字游民（含旅居青年）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核心问题/变量：数字游民动机（自由/成本/体验）、旅居地选择（安吉/大理类）、在地消费结构（住宿/咖啡/办公空间）、社群归属、可持续性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游民动机（自由/成本/体验）、旅居地选择（安吉/大理类）（可持续性）之间存在可检验的关系，且受群体差异（年龄/收入/地区/身份）调节（待验证）；H2：数字游民动机（自由/成本/体验）、旅居地选择（安吉/大理类）是影响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🔶数字游民基地报道（媒体须下载核验）；✅灵活就业政策（人社部）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数字游民社群问卷+旅居地访谈；区别于019（远程办公）聚焦生活方式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🔶数字游民基地报道（媒体须下载核验）；✅灵活就业政策（人社部）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