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597. “银发再就业，退而不休2.0”——老年再就业平台与返聘消费研究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研究对象：退休后再就业的老年人、招聘银发员工的企业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核心问题/变量：再就业动机（价值/收入/社交）、银发招聘平台使用、返聘岗位类型、工资期望、社保衔接、权益保障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再就业动机（价值/收入/社交）、银发招聘平台使用（权益保障）之间存在可检验的关系，且受群体差异（年龄/收入/地区/身份）调节（待验证）；H2：再就业动机（价值/收入/社交）、银发招聘平台使用是影响权益保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✅银发经济与就业政策（人社部、老龄办）；🔶银发招聘平台数据（须下载核验）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银发就业平台渠道+企业HR访谈；区别于495（银发求职意愿）聚焦平台机制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✅银发经济与就业政策（人社部、老龄办）；🔶银发招聘平台数据（须下载核验）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