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598. “打工人的第二职业，副业刚需”——青年副业经营消费研究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研究对象：经营副业（摆摊/自媒体/接单）的上班族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核心问题/变量：副业动机（增收/兴趣/安全感）、副业类型与投入、副业报班/工具消费、时间精力管理、副业转正意愿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副业动机（增收/兴趣/安全感）、副业类型与投入（副业转正意愿）之间存在可检验的关系，且受群体差异（年龄/收入/地区/身份）调节（待验证）；H2：副业动机（增收/兴趣/安全感）、副业类型与投入是影响副业转正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🔶副业经济话题与数据（媒体、招聘平台须下载核验）；✅灵活就业与新就业形态政策（人社部）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副业社群问卷+平台数据；区别于503（全职儿女）聚焦在职副业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🔶副业经济话题与数据（媒体、招聘平台须下载核验）；✅灵活就业与新就业形态政策（人社部）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