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634. “职场妈妈回归，重返岗位”——女性产假后重返职场支持研究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研究对象：产后重返职场的女性、用人单位HR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核心问题/变量：重返职场障碍（岗位保留/技能断层/歧视）、哺乳假落实、支持政策知晓（生育津贴/弹性）、企业友好度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重返职场障碍（岗位保留/技能断层/歧视）、哺乳假落实（企业友好度）之间存在可检验的关系，且受群体差异（年龄/收入/地区/身份）调节（待验证）；H2：重返职场障碍（岗位保留/技能断层/歧视）、哺乳假落实是影响企业友好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✅女职工劳动保护特别规定（人社部）；🔶女性就业数据（妇联报告须下载核验）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女职工渠道问卷+企业HR访谈；获奖黑名单核对：近三年无职场妈妈回归获奖题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✅女职工劳动保护特别规定（人社部）；🔶女性就业数据（妇联报告须下载核验）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