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654. “日结兼职，灵活用工新常态”——日结、小时工兼职消费与权益研究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研究对象：做过日结/小时工兼职（展会/分拣/服务员）的年轻人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核心问题/变量：日结兼职动机（增收/过渡）、平台接单体验、工资结算及时性、工伤保障缺失、与正式工作平衡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日结兼职动机（增收/过渡）、平台接单体验（与正式工作平衡）之间存在可检验的关系，且受群体差异（年龄/收入/地区/身份）调节（待验证）；H2：日结兼职动机（增收/过渡）、平台接单体验是影响与正式工作平衡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✅灵活就业人员权益保障政策（人社部）；🔶灵活用工市场数据（行业报告须下载核验）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兼职平台用户问卷；获奖黑名单核对：近三年无日结兼职获奖题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✅灵活就业人员权益保障政策（人社部）；🔶灵活用工市场数据（行业报告须下载核验）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