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678. “00后整顿职场，真的吗”——00后职场行为与代际管理研究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研究对象：00后职场新人及其管理者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核心问题/变量：00后职场特征（拒绝无效加班/直说）、裸辞频次、管理者适应、代际冲突与协作、组织文化调整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00后职场特征（拒绝无效加班/直说）、裸辞频次（组织文化调整）之间存在可检验的关系，且受群体差异（年龄/收入/地区/身份）调节（待验证）；H2：00后职场特征（拒绝无效加班/直说）、裸辞频次是影响组织文化调整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🔶00后职场话题报道（媒体须下载核验）；✅青年就业政策（人社部）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00后员工问卷+HR访谈；获奖黑名单核对：近三年无00后职场获奖题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🔶00后职场话题报道（媒体须下载核验）；✅青年就业政策（人社部）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