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700. “离开大厂去小城，降级生活”——大厂员工逃离一线、降级就业研究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研究对象：从一线大厂转至二线/小城或降级岗位的职场人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核心问题/变量：逃离动机（加班/内卷/房价）、职业路径转换（转行/自由职业）、收入落差与生活满意度、回流意愿、再适应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逃离动机（加班/内卷/房价）、职业路径转换（转行/自由职业）（再适应）之间存在可检验的关系，且受群体差异（年龄/收入/地区/身份）调节（待验证）；H2：逃离动机（加班/内卷/房价）、职业路径转换（转行/自由职业）是影响再适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🔶逃离大厂现象报道（媒体须下载核验）；✅区域人才政策（人社部、地方）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社交媒体社群问卷+个案访谈；获奖黑名单核对：近三年无逃离大厂获奖题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🔶逃离大厂现象报道（媒体须下载核验）；✅区域人才政策（人社部、地方）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