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725. “青年夜校热，下班去上课”——青年夜校（兴趣班）参与与消费研究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确定行业：13_职场与新就业（选择理由：贴合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研究对象：报名青年夜校（舞蹈/书法/化妆/非遗）的职场青年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核心问题/变量：夜校报名动机（技能/社交/解压）、课程与价格（公益vs市场化）、抢课难度、社交圈拓展、持续参与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夜校报名动机（技能/社交/解压）、课程与价格（公益vs市场化）（持续参与）之间存在可检验的关系，且受群体差异（年龄/收入/地区/身份）调节（待验证）；H2：夜校报名动机（技能/社交/解压）、课程与价格（公益vs市场化）是影响持续参与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🔶青年夜校热潮报道（央媒须下载核验）；✅青年发展型城市政策（共青团中央）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夜校机构/社群问卷；获奖黑名单核对：近三年无青年夜校获奖题（区别于91夜校经济，聚焦参与体验）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🔶青年夜校热潮报道（央媒须下载核验）；✅青年发展型城市政策（共青团中央）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