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747. “夜间经济摆摊，第二收入”——地摊、后备箱市集摆摊参与研究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研究对象：摆摊（夜市/后备箱市集）的年轻人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核心问题/变量：摆摊动机（副业/体验/社交）、摊位费与选品、单晚流水、城管与合规、社群（摆摊搭子）、持续经营意愿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摆摊动机（副业/体验/社交）、摊位费与选品（持续经营意愿）之间存在可检验的关系，且受群体差异（年龄/收入/地区/身份）调节（待验证）；H2：摆摊动机（副业/体验/社交）、摊位费与选品是影响持续经营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🔶夜间经济与摆摊政策（商务部、地方条例）；🔶摆摊经济报道（央媒须下载核验）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市集渠道问卷+摊主访谈；获奖黑名单核对：近三年无摆摊参与获奖题（区别于96后备箱市集消费）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🔶夜间经济与摆摊政策（商务部、地方条例）；🔶摆摊经济报道（央媒须下载核验）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