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760. “灵活就业社保，安心保障”——灵活就业人员社保缴纳与保障研究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研究对象：灵活就业（外卖/网约车/自由职业）人员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核心问题/变量：社保缴纳方式与负担、断缴顾虑、新就业形态职业伤害保障试点、养老与医疗规划、政策知晓与期待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社保缴纳方式与负担、断缴顾虑（政策知晓与期待）之间存在可检验的关系，且受群体差异（年龄/收入/地区/身份）调节（待验证）；H2：社保缴纳方式与负担、断缴顾虑是影响政策知晓与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✅灵活就业人员社保政策（人社部）；🔶职业伤害保障试点数据（须下载核验）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灵活就业平台渠道问卷+人社局访谈；获奖黑名单核对：近三年无灵活就业社保获奖题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✅灵活就业人员社保政策（人社部）；🔶职业伤害保障试点数据（须下载核验）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