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784. “职场带饭，省钱健康”——上班族带饭（便当）习惯与消费研究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研究对象：坚持带饭上班的职场人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核心问题/变量：带饭动机（省钱/健康/外卖疲乏）、便当盒与器具消费、备餐时间、与外卖/食堂对比、公司加热设施、坚持度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H1：带饭动机（省钱/健康/外卖疲乏）、便当盒与器具消费显著影响坚持度（待验证）；H2：不同人群（年龄/收入/城市等级）在上述关系中存在调节作用（待验证）。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🔶带饭文化话题数据（社交媒体/媒体须下载核验）；✅健康饮食倡导（卫健委）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职场社群问卷+便当用品电商数据；获奖黑名单核对：近三年无带饭消费获奖题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🔶带饭文化话题数据（社交媒体/媒体须下载核验）；✅健康饮食倡导（卫健委）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