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804. “简历投递无数，石沉大海”——求职简历投递与招聘流程体验研究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研究对象：近期求职（应届/跳槽）投递简历的求职者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核心问题/变量：简历投递量（海投）、回复率与周期、AI初筛影响、已读不回体验、平台（BOSS/智联）使用、求职焦虑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简历投递量（海投）、回复率与周期（求职焦虑）之间存在可检验的关系，且受群体差异（年龄/收入/地区/身份）调节（待验证）；H2：简历投递量（海投）、回复率与周期是影响求职焦虑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🔶青年就业形势数据（人社部、统计局须下载核验）；✅就业优先政策（国务院）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求职社群问卷+招聘平台数据；获奖黑名单核对：近三年无简历投递获奖题（区别于706 AI简历）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🔶青年就业形势数据（人社部、统计局须下载核验）；✅就业优先政策（国务院）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