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825. “35岁职场危机，转行还是坚守”——35岁职场门槛与中年转行研究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研究对象：35岁左右经历职业瓶颈/被优化/转行的职场人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核心问题/变量：35岁危机感知（招聘门槛/晋升受限）、被优化经历、转行方向（保险/家政/自由职业）、收入落差、政策保障期待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35岁危机感知（招聘门槛/晋升受限）、被优化经历（政策保障期待）之间存在可检验的关系，且受群体差异（年龄/收入/地区/身份）调节（待验证）；H2：35岁危机感知（招聘门槛/晋升受限）、被优化经历是影响政策保障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🔶35岁门槛整治讨论（人社部回应须下载核验）；🔶中年就业数据（须下载核验）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职场社群问卷+HR访谈；获奖黑名单核对：近三年无35岁危机获奖题（区别于357中年转岗）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🔶35岁门槛整治讨论（人社部回应须下载核验）；🔶中年就业数据（须下载核验）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