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857. “考证热，卷证书”——职场考证书（CPA、法考、软考等）消费研究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研究对象：在职备考职业证书（CPA/法考/建造师等）的上班族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核心问题/变量：考证动机（涨薪/转行/安全感）、报班与教材消费、备考时间管理、证书含金量兑现、多证焦虑、考后就业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H1：考证动机（涨薪/转行/安全感）、报班与教材消费显著影响考后就业（待验证）；H2：不同人群（年龄/收入/城市等级）在上述关系中存在调节作用（待验证）。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🔶职业资格考试数据（人社部须下载核验）；✅职业技能提升行动（人社部）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考公社群问卷+培训机构访谈；获奖黑名单核对：近三年无职场考证获奖题（区别于42技能学习）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🔶职业资格考试数据（人社部须下载核验）；✅职业技能提升行动（人社部）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