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883. “绩效面谈，KPI的恐惧”——绩效管理与目标设定（KPI、OKR）员工体验研究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研究对象：经历绩效面谈/末位淘汰焦虑的职场人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核心问题/变量：绩效指标合理性、末位淘汰感知、面谈沟通（打分/申诉）、绩效与薪资挂钩、OKR落地、员工心理安全感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绩效指标合理性、末位淘汰感知（员工心理安全感）之间存在可检验的关系，且受群体差异（年龄/收入/地区/身份）调节（待验证）；H2：绩效指标合理性、末位淘汰感知是影响员工心理安全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🔶企业绩效管理与劳动法合规（人社部）；🔶绩效争议案例（须下载核验）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职场社群问卷+HR访谈；获奖黑名单核对：近三年无绩效管理获奖题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🔶企业绩效管理与劳动法合规（人社部）；🔶绩效争议案例（须下载核验）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