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932. “办公室断舍离，工位改造”——工位改造（桌面美学）消费研究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研究对象：改造工位（升降桌/绿植/手办）的上班族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核心问题/变量：工位改造动机（幸福感/效率）、升降桌等装备消费、桌面绿植手办、公司支持（工位费报销）、与居家办公衔接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工位改造动机（幸福感/效率）、升降桌等装备消费（与居家办公衔接）之间存在可检验的关系，且受群体差异（年龄/收入/地区/身份）调节（待验证）；H2：工位改造动机（幸福感/效率）、升降桌等装备消费是影响与居家办公衔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🔶办公环境健康政策（卫健委职业健康）；🔶工位改造话题数据（社交媒体须下载核验）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职场社群问卷+办公用品电商数据；获奖黑名单核对：近三年无工位改造获奖题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🔶办公环境健康政策（卫健委职业健康）；🔶工位改造话题数据（社交媒体须下载核验）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