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974. “周休2.5天，错峰休息”——作息制度改革（2.5天假、错峰休假）意愿研究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研究对象：关注弹性作息/错峰休假的上班族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核心问题/变量：周休2.5天意愿与可行性、错峰休假（带薪年假分散）接受、企业执行瓶颈（人手）、消费拉动（短途游）、职工支持度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周休2.5天意愿与可行性、错峰休假（带薪年假分散）接受（职工支持度）之间存在可检验的关系，且受群体差异（年龄/收入/地区/身份）调节（待验证）；H2：周休2.5天意愿与可行性、错峰休假（带薪年假分散）接受是影响职工支持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🔶弹性作息与休假促进消费政策建议（发改委等）；🔶错峰休假讨论报道（须下载核验）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职场问卷+人社部门访谈；获奖黑名单核对：近三年无2.5天休假获奖题（区别于616带薪休假泛题，聚焦错峰弹性）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🔶弹性作息与休假促进消费政策建议（发改委等）；🔶错峰休假讨论报道（须下载核验）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