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990. “职场MBTI入职测，性格筛选”——入职性格测试（MBTI、九型人格）应用研究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研究对象：经历过入职性格测试（人才测评）的求职者、企业HR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核心问题/变量：入职测频次（MBTI/九型）、测试结果影响录用感知、测评科学性质疑（伪科学）、岗位匹配度、隐私与公平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职测频次（MBTI/九型）、测试结果影响录用感知（隐私与公平）之间存在可检验的关系，且受群体差异（年龄/收入/地区/身份）调节（待验证）；H2：入职测频次（MBTI/九型）、测试结果影响录用感知是影响隐私与公平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🔶招聘测评与就业公平规范（人社部）；🔶MBTI测评论证报道（须下载核验）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求职者问卷+HR访谈；获奖黑名单核对：近三年无入职性格测试获奖题（区别于922 MBTI相亲）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🔶招聘测评与就业公平规范（人社部）；🔶MBTI测评论证报道（须下载核验）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