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1110. “强村公司，村集体生意经”——强村公司（村集体企业）运营模式研究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研究对象：强村公司（村集体控股企业）负责人、村干部、村民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核心问题/变量：强村公司业态（物业/劳务/农业/文旅）、村集体收入增长、收益分红（村民）、与村两委关系、人才运营、风险防控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强村公司业态（物业/劳务/农业/文旅）、村集体收入增长（风险防控）之间存在可检验的关系，且受群体差异（年龄/收入/地区/身份）调节（待验证）；H2：强村公司业态（物业/劳务/农业/文旅）、村集体收入增长是影响风险防控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🔶发展新型农村集体经济政策（农业农村部）；🔶强村公司案例数据（须下载核验）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试点村问卷+农业农村部门访谈；获奖黑名单核对：近三年无强村公司获奖题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🔶发展新型农村集体经济政策（农业农村部）；🔶强村公司案例数据（须下载核验）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