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1115. “乡村旅游公路，一路风景一路游”——乡村旅游公路（风景道）自驾消费研究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研究对象：沿乡村旅游公路自驾的游客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核心问题/变量：风景道自驾动机（沿途风景/驿站）、旅游公路驿站配套（停车/厕所/补给）、沿线农家乐民宿、行驶体验、带动周边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风景道自驾动机（沿途风景/驿站）、旅游公路驿站配套（停车/厕所/补给）（带动周边）之间存在可检验的关系，且受群体差异（年龄/收入/地区/身份）调节（待验证）；H2：风景道自驾动机（沿途风景/驿站）、旅游公路驿站配套（停车/厕所/补给）是影响带动周边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🔶交旅融合与旅游公路政策（交通运输部、文旅部）；🔶旅游公路案例数据（须下载核验）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自驾游客问卷+交通/文旅部门访谈；获奖黑名单核对：近三年无乡村旅游公路获奖题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🔶交旅融合与旅游公路政策（交通运输部、文旅部）；🔶旅游公路案例数据（须下载核验）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