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1116. “农事节庆，土味也出圈”——乡村农事节庆（开渔节、丰收节、梨花节）消费研究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研究对象：参加乡村农事节庆（开渔/丰收/赏花）的游客与农户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核心问题/变量：农事节庆参与动机（赶集/亲子）、节庆消费（农特产/餐饮）、民俗表演出圈、农户增收、节庆可持续（办完即散）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农事节庆参与动机（赶集/亲子）、节庆消费（农特产/餐饮）（节庆可持续（办完即散））之间存在可检验的关系，且受群体差异（年龄/收入/地区/身份）调节（待验证）；H2：农事节庆参与动机（赶集/亲子）、节庆消费（农特产/餐饮）是影响节庆可持续（办完即散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🔶农民丰收节与乡村文化活动政策（农业农村部、文旅部）；🔶农事节庆案例（须下载核验）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节庆现场问卷+县文旅局访谈；获奖黑名单核对：近三年无农事节庆获奖题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🔶农民丰收节与乡村文化活动政策（农业农村部、文旅部）；🔶农事节庆案例（须下载核验）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