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1117. “空心村蝶变，整村运营”——空心村整村运营（民宿集群）模式研究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研究对象：整村运营（村企合作）项目中的村民、运营企业与游客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核心问题/变量：空心村改造（闲置房→民宿）、整村运营收益（村民租金+分红）、运营公司角色、游客体验、返乡就业、模式复制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空心村改造（闲置房→民宿）、整村运营收益（村民租金+分红）（模式复制）之间存在可检验的关系，且受群体差异（年龄/收入/地区/身份）调节（待验证）；H2：空心村改造（闲置房→民宿）、整村运营收益（村民租金+分红）是影响模式复制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🔶闲置宅基地与农房盘活政策（农业农村部、自然资源部）；🔶整村运营案例报道（须下载核验）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运营村实地问卷+企业访谈；获奖黑名单核对：近三年无空心村运营获奖题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🔶闲置宅基地与农房盘活政策（农业农村部、自然资源部）；🔶整村运营案例报道（须下载核验）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