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1118. “农产品深加工，土货变身”——农产品深加工（初级到品牌）消费研究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建议地区：县域（可按省/市细化抽样框）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确定行业：14_乡村振兴与县域经济（选择理由：贴合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研究对象：购买县域农产品深加工品（预制/冻干/果干）的消费者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核心问题/变量：农产品深加工消费（本地特产加工品）、品牌化（区域公用品牌）、溢价接受（原产地）、口感与配料、返乡礼盒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H1：农产品深加工消费（本地特产加工品）、品牌化（区域公用品牌）显著影响返乡礼盒（待验证）；H2：不同人群（年龄/收入/城市等级）在上述关系中存在调节作用（待验证）。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🔶农产品加工业发展政策（农业农村部）；🔶县域加工品牌数据（须下载核验）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县域加工企业问卷+消费者访谈；获奖黑名单核对：近三年无农产品深加工获奖题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🔶农产品加工业发展政策（农业农村部）；🔶县域加工品牌数据（须下载核验）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