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1307. “县医院看大病，医共体托底”——紧密型县域医共体（老乡就医）研究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研究对象：在县域医共体（县医院牵头）就医的农村患者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核心问题/变量：县域医共体建设（县乡一体）、县内看病比例（留在县里）、转诊通道（向上转院）、专家下沉（县里看名医）、报销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医共体建设（县乡一体）、县内看病比例（留在县里）（报销）之间存在可检验的关系，且受群体差异（年龄/收入/地区/身份）调节（待验证）；H2：县域医共体建设（县乡一体）、县内看病比例（留在县里）是影响报销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🔶紧密型县域医共体建设政策（卫健委）；🔶医共体建设数据（须下载核验）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县域医院渠道+患者问卷；获奖黑名单核对：近三年无县域医共体获奖题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🔶紧密型县域医共体建设政策（卫健委）；🔶医共体建设数据（须下载核验）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