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1370. “新农人IP，乡村网红2.0”——新农人IP（乡村个人品牌）运营研究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研究对象：打造个人IP（乡村生活/农产品）的新农人主播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核心问题/变量：新农人IP（人设/内容）、带货转化、涨粉与变现（橱窗/直播）、供应链（发货）、持续更新压力、平台规则、农村留守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新农人IP（人设/内容）、带货转化（农村留守）之间存在可检验的关系，且受群体差异（年龄/收入/地区/身份）调节（待验证）；H2：新农人IP（人设/内容）、带货转化是影响农村留守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🔶乡村人才振兴与电商政策（农业农村部、商务部）；🔶新农人IP数据（须下载核验）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新农人账号问卷+MCN访谈；获奖黑名单核对：近三年无新农人IP获奖题（区别于795直播助农、1113村播，聚焦个人品牌化）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🔶乡村人才振兴与电商政策（农业农村部、商务部）；🔶新农人IP数据（须下载核验）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