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1372. “乡村快递进村，最后一公里打通”——快递进村（农村物流）使用研究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研究对象：享受快递进村（村级站点/共配）的村民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核心问题/变量：快递进村覆盖率（行政村）、取件距离（村站/代收点）、邮件时效、退换货便利（电商下乡）、农产品上行（寄快递）、补贴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快递进村覆盖率（行政村）、取件距离（村站/代收点）（补贴）之间存在可检验的关系，且受群体差异（年龄/收入/地区/身份）调节（待验证）；H2：快递进村覆盖率（行政村）、取件距离（村站/代收点）是影响补贴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🔶快递进村与农村寄递物流体系政策（国家邮政局、商务部）；🔶进村数据（须下载核验）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村民问卷+邮政/快递企业访谈；获奖黑名单核对：近三年无快递进村获奖题（区别于686服务驿站、259农村物流泛题，聚焦进村覆盖体验）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🔶快递进村与农村寄递物流体系政策（国家邮政局、商务部）；🔶进村数据（须下载核验）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