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1374. “预制菜进村，村里也能吃硬菜”——预制菜（下沉县域乡村）消费研究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建议地区：县域（可按省/市细化抽样框）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研究对象：购买预制菜（乡村/县域市场）的村民与返乡消费者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核心问题/变量：预制菜进村（冷链/超市扩容）、乡村宴席预制（流水席）、预制菜标准（禁用防腐剂）、价格与观念、节日家宴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H1：预制菜进村（冷链/超市扩容）、乡村宴席预制（流水席）显著影响节日家宴（待验证）；H2：不同人群（年龄/收入/城市等级）在上述关系中存在调节作用（待验证）。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🔶预制菜产业发展与监管政策（市场监管总局、农业农村部）；🔶预制菜市场数据（须下载核验）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县域商超问卷+预制菜企业访谈；获奖黑名单核对：近三年无预制菜下乡获奖题（区别于367/904预制菜泛题，聚焦县域下沉）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🔶预制菜产业发展与监管政策（市场监管总局、农业农村部）；🔶预制菜市场数据（须下载核验）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