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169. “云上认养，田间有主”——城市居民认养农业（认养果树、家禽、菜地）参与意愿研究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研究对象：城市家庭/亲子人群（对农产品溯源感兴趣）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核心问题/变量：参与动机（食品安全/亲子体验/助农）、认养品类、价格接受、远程监控期望、参与意愿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食品安全/亲子体验/助农）、认养品类（参与意愿）之间存在可检验的关系，且受群体差异（年龄/收入/地区/身份）调节（待验证）；H2：参与动机（食品安全/亲子体验/助农）、认养品类是影响参与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✅全国认养农业预计突破1200亿元、年增速超25%；✅"认养农业小程序"2026年约84.3亿元、覆盖超2100万家庭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亲子社群/社区团购渠道；紧扣"云养经济"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✅全国认养农业预计突破1200亿元、年增速超25%；✅"认养农业小程序"2026年约84.3亿元、覆盖超2100万家庭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