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170. “乡村积分制，攒分换服务”——乡村治理积分制的村民参与意愿研究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研究对象：试点村村民、村干部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核心问题/变量：积分制知晓与参与率、激励内容偏好（实物/服务/荣誉）、治理效果感知（人居环境、移风易俗）、可持续性顾虑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积分制知晓与参与率、激励内容偏好（实物/服务/荣誉）（可持续性顾虑）之间存在可检验的关系，且受群体差异（年龄/收入/地区/身份）调节（待验证）；H2：积分制知晓与参与率、激励内容偏好（实物/服务/荣誉）是影响可持续性顾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✅乡村治理积分制政策与实践案例（农业农村部文件、央媒报道）；🔶各地试点成效数据（须下载核验）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试点村实地问卷+村干部访谈；与056（数字乡村）区分：聚焦积分制治理机制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✅乡村治理积分制政策与实践案例（农业农村部文件、央媒报道）；🔶各地试点成效数据（须下载核验）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