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171. “共享菜园，都市农夫”——城市共享菜园、阳台农业体验消费研究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研究对象：租过共享菜园或进行阳台种菜的都市居民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核心问题/变量：租地动机（减压/亲子/食材）、年租金接受、运营服务满意度、续租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租地动机（减压/亲子/食材）、年租金接受（续租）之间存在可检验的关系，且受群体差异（年龄/收入/地区/身份）调节（待验证）；H2：租地动机（减压/亲子/食材）、年租金接受是影响续租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🔶山东超半数共享菜园亏损、纯收地租盈利不到10%（行业报道）；✅认养农业1200亿大盘背景；✅都市农业政策（乡村振兴/农业现代化规划）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共享菜园园区现场+都市农业社群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🔶山东超半数共享菜园亏损、纯收地租盈利不到10%（行业报道）；✅认养农业1200亿大盘背景；✅都市农业政策（乡村振兴/农业现代化规划）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