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174. “庭院经济，方寸生金”——农民庭院经济、农宅民宿化经营意愿研究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研究对象：农村庭院户主（有意发展庭院种养/庭院民宿/农家乐）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核心问题/变量：经营意愿、启动资金、销售渠道、政策支持需求、风险顾虑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H1：经营意愿、启动资金（风险顾虑）之间存在可检验的关系，且受群体差异（年龄/收入/地区/身份）调节（待验证）；H2：经营意愿、启动资金是影响风险顾虑的关键因素（待验证）。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✅2026年中央一号文件支持庭院经济（政策背景，🔶具体条款待引）；✅乡村全面振兴规划（背景）；✅返乡创业超1300万人（第二批已核验）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乡镇村委渠道入户问卷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✅2026年中央一号文件支持庭院经济（政策背景，🔶具体条款待引）；✅乡村全面振兴规划（背景）；✅返乡创业超1300万人（第二批已核验）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