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270. “县域连锁，下沉生意”——县域连锁商业、下沉市场消费升级研究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研究对象：县域居民（体验过连锁品牌下沉：奶茶/快餐/零售）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核心问题/变量：品牌偏好、消费升级感知（vs当地小店）、价格接受、县域商业生态评价、需求缺口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H1：品牌偏好、消费升级感知（vs当地小店）显著影响需求缺口（待验证）；H2：不同人群（年龄/收入/城市等级）在上述关系中存在调节作用（待验证）。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✅2026上半年乡村消费品零售额33216亿元（+2.5%，第二批已核验）；✅县域商业体系建设（商务部政策）；🔶"县城咖啡/奶茶下沉"媒体现象（需引原文）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县域商圈现场调研；与58题（县域青年消费）区分：聚焦品牌下沉供给端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✅2026上半年乡村消费品零售额33216亿元（+2.5%，第二批已核验）；✅县域商业体系建设（商务部政策）；🔶"县城咖啡/奶茶下沉"媒体现象（需引原文）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