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287. “快递进村，最后一公里”——农村寄递物流（快递进村、客货邮）消费研究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研究对象：农村网购居民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核心问题/变量：网购频次、取件便利（代收点/村站）、快递时效、农产品上行需求、满意度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网购频次、取件便利（代收点/村站）（满意度）之间存在可检验的关系，且受群体差异（年龄/收入/地区/身份）调节（待验证）；H2：网购频次、取件便利（代收点/村站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✅"快递进村"工程（国家邮政局政策）；✅农村网络零售额2025年破3万亿（第二批已核验）；🔶客货邮融合站点数量（国家邮政局数据需核验）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村级快递站/乡镇网点现场调研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✅"快递进村"工程（国家邮政局政策）；✅农村网络零售额2025年破3万亿（第二批已核验）；🔶客货邮融合站点数量（国家邮政局数据需核验）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