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340. “乡村CEO，运营村庄”——乡村职业经理人、乡村运营师参与乡村振兴意愿研究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研究对象：返乡青年、村干部、有意参与乡村运营的人才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核心问题/变量：职业认知、岗位吸引力、薪资预期、技能要求（运营/市场）、政策支持需求、参与意愿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H1：职业认知、岗位吸引力（参与意愿）之间存在可检验的关系，且受群体差异（年龄/收入/地区/身份）调节（待验证）；H2：职业认知、岗位吸引力是影响参与意愿的关键因素（待验证）。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🔶乡村CEO培训班（浙江/广东实践，媒体多次报道，需引原文）；✅乡村振兴人才政策（农业农村部）；✅返乡创业超1300万人（第二批已核验）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返乡创业基地/农业农村局渠道；与52题（返乡创业）区分：聚焦专业运营岗位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🔶乡村CEO培训班（浙江/广东实践，媒体多次报道，需引原文）；✅乡村振兴人才政策（农业农村部）；✅返乡创业超1300万人（第二批已核验）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