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431. “稻田里的生意经”——稻田经济、农旅融合（稻田画、稻田咖啡、认养）消费研究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研究对象：参与过稻田/农田体验（稻田画打卡/稻香咖啡/插秧体验）的游客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核心问题/变量：参与动机（亲子/出片/怀旧）、项目类型、消费支出、农业科普收获、复游意愿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H1：参与动机（亲子/出片/怀旧）、项目类型显著影响复游意愿（待验证）；H2：不同人群（年龄/收入/城市等级）在上述关系中存在调节作用（待验证）。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🔶稻田经济（"稻田咖啡/稻田画"媒体现象需引原文）；✅乡村旅游人次与收入（文旅部数据🔶需核验）；✅认养农业新模式（第五六轮已核验）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农旅项目现场+OTA渠道；与169题（认养农业）区分：聚焦稻田场景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🔶稻田经济（"稻田咖啡/稻田画"媒体现象需引原文）；✅乡村旅游人次与收入（文旅部数据🔶需核验）；✅认养农业新模式（第五六轮已核验）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