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432. “一村一品，土货品牌化”——地标农产品、一村一品品牌消费研究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建议地区：农村（可按省/市细化抽样框）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研究对象：购买过地理标志农产品（五常大米/阳澄湖大闸蟹等）的消费者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核心问题/变量：购买渠道、真伪担忧（假冒地标）、溢价接受、产地溯源需求、品牌信任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H1：购买渠道、真伪担忧（假冒地标）显著影响品牌信任（待验证）；H2：不同人群（年龄/收入/城市等级）在上述关系中存在调节作用（待验证）。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🔶地理标志产品数量（国家知识产权局数据需核验）；✅"一村一品"示范村镇（农业农村部政策背景）；✅农村电商破3万亿（第二批已核验）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电商平台+农产品展销渠道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🔶地理标志产品数量（国家知识产权局数据需核验）；✅"一村一品"示范村镇（农业农村部政策背景）；✅农村电商破3万亿（第二批已核验）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