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433. “土特产上链接，乡村直播间”——农产品直播带货2.0（品牌化、供应链）研究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研究对象：农产品直播从业者（主播/村书记/合作社）及消费者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核心问题/变量：直播主体、选品与供应链、流量与转化、助农成效、消费者复购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H1：直播主体、选品与供应链显著影响消费者复购（待验证）；H2：不同人群（年龄/收入/城市等级）在上述关系中存在调节作用（待验证）。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✅直播电商2025年破6万亿（第九轮证据）；🔶农产品直播带货规模（电商平台数据需核验）；✅"数商兴农"工程（商务部政策背景）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农产品直播基地/电商服务中心渠道；与246题（助农直播）区分：聚焦从业者供给侧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✅直播电商2025年破6万亿（第九轮证据）；🔶农产品直播带货规模（电商平台数据需核验）；✅"数商兴农"工程（商务部政策背景）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