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047. “村超村 BA，流量变留量”——乡村体育赛事带动文旅消费的效应与游客满意度研究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研究对象：村超/村 BA 观众与外地游客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核心问题/变量：赛事体验、消费支出（食宿购）、停留时长、重游意愿、带动效应感知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H1：赛事体验、消费支出（食宿购）显著影响带动效应感知（待验证）；H2：不同人群（年龄/收入/城市等级）在上述关系中存在调节作用（待验证）。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