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048. “村咖飘香，县域新景”——乡村咖啡馆消费场景与游客消费意愿研究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研究对象：乡村咖啡馆消费者（游客+本地青年）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核心问题/变量：场景吸引力、情绪价值、消费金额、满意度、推荐意愿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H1：场景吸引力、情绪价值显著影响推荐意愿（待验证）；H2：不同人群（年龄/收入/城市等级）在上述关系中存在调节作用（待验证）。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- **参考来源**：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