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050. “归雁创业，沃土生金”——返乡创业青年创业意愿与政策支持感知研究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研究对象：返乡创业青年/有返乡意向的青年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核心问题/变量：创业意愿、政策感知（补贴/贷款/场地）、资源可得性、风险感知、创业行动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创业意愿、政策感知（补贴/贷款/场地）（创业行动）之间存在可检验的关系，且受群体差异（年龄/收入/地区/身份）调节（待验证）；H2：创业意愿、政策感知（补贴/贷款/场地）是影响创业行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