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512. “县城老家，周末回村”——城市青年‘周末回村’双栖生活消费研究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研究对象：周末返乡（老家在县乡）的城市工作青年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核心问题/变量：回村频次与动机（乡愁/低成本/家庭）、回村消费结构（交通、村宴、土产）、乡村空间改造（老屋翻新）投入、相较返乡定居的决策差异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回村频次与动机（乡愁/低成本/家庭）、回村消费结构（交通（相较返乡定居的决策差异）之间存在可检验的关系，且受群体差异（年龄/收入/地区/身份）调节（待验证）；H2：回村频次与动机（乡愁/低成本/家庭）、回村消费结构（交通是影响相较返乡定居的决策差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🔶“周末回村”“程心回乡”一类现象报道（媒体，须下载核验）；✅乡村振兴与县域经济政策（已有证据）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城乡通勤青年社群问卷+家庭访谈；区别于050（返乡创业）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🔶“周末回村”“程心回乡”一类现象报道（媒体，须下载核验）；✅乡村振兴与县域经济政策（已有证据）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