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054. “智慧大棚，数字种田”——新型农业经营主体智慧农业设备采纳意愿研究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研究对象：种植大户/合作社/家庭农场经营者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核心问题/变量：感知有用性、感知易用性、成本收益预期、技术自我效能、采纳意愿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H1：感知有用性、感知易用性（采纳意愿）之间存在可检验的关系，且受群体差异（年龄/收入/地区/身份）调节（待验证）；H2：感知有用性、感知易用性是影响采纳意愿的关键因素（待验证）。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